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6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4"/>
        <w:gridCol w:w="1191"/>
        <w:gridCol w:w="5809"/>
      </w:tblGrid>
      <w:tr w:rsidR="001262CD" w:rsidRPr="00831D47" w:rsidTr="001262CD">
        <w:trPr>
          <w:trHeight w:val="284"/>
          <w:tblHeader/>
        </w:trPr>
        <w:tc>
          <w:tcPr>
            <w:tcW w:w="1364" w:type="dxa"/>
            <w:shd w:val="clear" w:color="auto" w:fill="auto"/>
            <w:vAlign w:val="center"/>
          </w:tcPr>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審計</w:t>
            </w:r>
          </w:p>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委員會</w:t>
            </w:r>
          </w:p>
        </w:tc>
        <w:tc>
          <w:tcPr>
            <w:tcW w:w="1191" w:type="dxa"/>
            <w:vAlign w:val="center"/>
          </w:tcPr>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日期</w:t>
            </w:r>
          </w:p>
        </w:tc>
        <w:tc>
          <w:tcPr>
            <w:tcW w:w="5809" w:type="dxa"/>
            <w:shd w:val="clear" w:color="auto" w:fill="auto"/>
            <w:vAlign w:val="center"/>
          </w:tcPr>
          <w:p w:rsidR="001262CD" w:rsidRPr="00831D47" w:rsidRDefault="001262CD" w:rsidP="003D4E9D">
            <w:pPr>
              <w:spacing w:line="300" w:lineRule="exact"/>
              <w:jc w:val="center"/>
              <w:rPr>
                <w:rFonts w:ascii="Book Antiqua" w:eastAsia="標楷體" w:hAnsi="Book Antiqua"/>
                <w:color w:val="000000" w:themeColor="text1"/>
                <w:szCs w:val="24"/>
              </w:rPr>
            </w:pPr>
            <w:bookmarkStart w:id="0" w:name="_GoBack"/>
            <w:bookmarkEnd w:id="0"/>
            <w:r w:rsidRPr="00831D47">
              <w:rPr>
                <w:rFonts w:ascii="Book Antiqua" w:eastAsia="標楷體" w:hAnsi="Book Antiqua"/>
                <w:color w:val="000000" w:themeColor="text1"/>
                <w:szCs w:val="24"/>
              </w:rPr>
              <w:t>議案內容</w:t>
            </w:r>
          </w:p>
        </w:tc>
      </w:tr>
      <w:tr w:rsidR="001262CD" w:rsidRPr="00831D47" w:rsidTr="001262CD">
        <w:trPr>
          <w:trHeight w:val="284"/>
        </w:trPr>
        <w:tc>
          <w:tcPr>
            <w:tcW w:w="1364" w:type="dxa"/>
            <w:shd w:val="clear" w:color="auto" w:fill="auto"/>
            <w:vAlign w:val="center"/>
          </w:tcPr>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第二屆</w:t>
            </w:r>
          </w:p>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第十二次</w:t>
            </w:r>
          </w:p>
        </w:tc>
        <w:tc>
          <w:tcPr>
            <w:tcW w:w="1191" w:type="dxa"/>
            <w:vAlign w:val="center"/>
          </w:tcPr>
          <w:p w:rsidR="001262CD" w:rsidRPr="00831D47" w:rsidRDefault="001262CD" w:rsidP="003D4E9D">
            <w:pPr>
              <w:pStyle w:val="1"/>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111.02.25</w:t>
            </w:r>
          </w:p>
        </w:tc>
        <w:tc>
          <w:tcPr>
            <w:tcW w:w="5809" w:type="dxa"/>
            <w:shd w:val="clear" w:color="auto" w:fill="auto"/>
          </w:tcPr>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本公司更換簽證會計師案。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w:t>
            </w:r>
            <w:r w:rsidRPr="00831D47">
              <w:rPr>
                <w:rFonts w:ascii="Book Antiqua" w:eastAsia="標楷體" w:hAnsi="Book Antiqua"/>
                <w:color w:val="000000" w:themeColor="text1"/>
              </w:rPr>
              <w:t>110</w:t>
            </w:r>
            <w:r w:rsidRPr="00831D47">
              <w:rPr>
                <w:rFonts w:ascii="Book Antiqua" w:eastAsia="標楷體" w:hAnsi="Book Antiqua"/>
                <w:color w:val="000000" w:themeColor="text1"/>
              </w:rPr>
              <w:t>年度內部控制制度有效性考核及內部控制制度聲明書案。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w:t>
            </w:r>
            <w:r w:rsidRPr="00831D47">
              <w:rPr>
                <w:rFonts w:ascii="Book Antiqua" w:eastAsia="標楷體" w:hAnsi="Book Antiqua"/>
                <w:color w:val="000000" w:themeColor="text1"/>
              </w:rPr>
              <w:t>110</w:t>
            </w:r>
            <w:r w:rsidRPr="00831D47">
              <w:rPr>
                <w:rFonts w:ascii="Book Antiqua" w:eastAsia="標楷體" w:hAnsi="Book Antiqua"/>
                <w:color w:val="000000" w:themeColor="text1"/>
              </w:rPr>
              <w:t>年度營業報告書、個體財務報表及合併財務報表案。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修訂本公司取得或處理資產處理程序案。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本公司申請開立衍生性商品交易帳戶案。</w:t>
            </w:r>
          </w:p>
        </w:tc>
      </w:tr>
      <w:tr w:rsidR="001262CD" w:rsidRPr="00831D47" w:rsidTr="001262CD">
        <w:trPr>
          <w:trHeight w:val="284"/>
        </w:trPr>
        <w:tc>
          <w:tcPr>
            <w:tcW w:w="1364" w:type="dxa"/>
            <w:shd w:val="clear" w:color="auto" w:fill="auto"/>
            <w:vAlign w:val="center"/>
          </w:tcPr>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第二屆</w:t>
            </w:r>
          </w:p>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sidRPr="00831D47">
              <w:rPr>
                <w:rFonts w:ascii="Book Antiqua" w:eastAsia="標楷體" w:hAnsi="Book Antiqua" w:hint="eastAsia"/>
                <w:color w:val="000000" w:themeColor="text1"/>
                <w:szCs w:val="24"/>
              </w:rPr>
              <w:t>十三</w:t>
            </w:r>
            <w:r w:rsidRPr="00831D47">
              <w:rPr>
                <w:rFonts w:ascii="Book Antiqua" w:eastAsia="標楷體" w:hAnsi="Book Antiqua"/>
                <w:color w:val="000000" w:themeColor="text1"/>
                <w:szCs w:val="24"/>
              </w:rPr>
              <w:t>次</w:t>
            </w:r>
          </w:p>
        </w:tc>
        <w:tc>
          <w:tcPr>
            <w:tcW w:w="1191" w:type="dxa"/>
            <w:vAlign w:val="center"/>
          </w:tcPr>
          <w:p w:rsidR="001262CD" w:rsidRPr="00831D47" w:rsidRDefault="001262CD" w:rsidP="003D4E9D">
            <w:pPr>
              <w:pStyle w:val="1"/>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w:t>
            </w:r>
            <w:r w:rsidRPr="00831D47">
              <w:rPr>
                <w:rFonts w:ascii="Book Antiqua" w:eastAsia="標楷體" w:hAnsi="Book Antiqua" w:hint="eastAsia"/>
                <w:color w:val="000000" w:themeColor="text1"/>
              </w:rPr>
              <w:t>1</w:t>
            </w:r>
            <w:r w:rsidRPr="00831D47">
              <w:rPr>
                <w:rFonts w:ascii="Book Antiqua" w:eastAsia="標楷體" w:hAnsi="Book Antiqua"/>
                <w:color w:val="000000" w:themeColor="text1"/>
              </w:rPr>
              <w:t>.0</w:t>
            </w:r>
            <w:r w:rsidRPr="00831D47">
              <w:rPr>
                <w:rFonts w:ascii="Book Antiqua" w:eastAsia="標楷體" w:hAnsi="Book Antiqua" w:hint="eastAsia"/>
                <w:color w:val="000000" w:themeColor="text1"/>
              </w:rPr>
              <w:t>5</w:t>
            </w:r>
            <w:r w:rsidRPr="00831D47">
              <w:rPr>
                <w:rFonts w:ascii="Book Antiqua" w:eastAsia="標楷體" w:hAnsi="Book Antiqua"/>
                <w:color w:val="000000" w:themeColor="text1"/>
              </w:rPr>
              <w:t>.</w:t>
            </w:r>
            <w:r w:rsidRPr="00831D47">
              <w:rPr>
                <w:rFonts w:ascii="Book Antiqua" w:eastAsia="標楷體" w:hAnsi="Book Antiqua" w:hint="eastAsia"/>
                <w:color w:val="000000" w:themeColor="text1"/>
              </w:rPr>
              <w:t>03</w:t>
            </w:r>
          </w:p>
          <w:p w:rsidR="001262CD" w:rsidRPr="00831D47" w:rsidRDefault="001262CD" w:rsidP="003D4E9D">
            <w:pPr>
              <w:pStyle w:val="1"/>
              <w:autoSpaceDE w:val="0"/>
              <w:autoSpaceDN w:val="0"/>
              <w:spacing w:line="300" w:lineRule="exact"/>
              <w:ind w:leftChars="0" w:left="120" w:hangingChars="50" w:hanging="120"/>
              <w:jc w:val="center"/>
              <w:rPr>
                <w:rFonts w:ascii="Book Antiqua" w:eastAsia="標楷體" w:hAnsi="Book Antiqua"/>
                <w:color w:val="000000" w:themeColor="text1"/>
              </w:rPr>
            </w:pPr>
          </w:p>
        </w:tc>
        <w:tc>
          <w:tcPr>
            <w:tcW w:w="5809" w:type="dxa"/>
            <w:shd w:val="clear" w:color="auto" w:fill="auto"/>
          </w:tcPr>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w:t>
            </w:r>
            <w:r w:rsidRPr="00831D47">
              <w:rPr>
                <w:rFonts w:ascii="Book Antiqua" w:eastAsia="標楷體" w:hAnsi="Book Antiqua"/>
                <w:color w:val="000000" w:themeColor="text1"/>
              </w:rPr>
              <w:t>11</w:t>
            </w:r>
            <w:r w:rsidRPr="00831D47">
              <w:rPr>
                <w:rFonts w:ascii="Book Antiqua" w:eastAsia="標楷體" w:hAnsi="Book Antiqua" w:hint="eastAsia"/>
                <w:color w:val="000000" w:themeColor="text1"/>
              </w:rPr>
              <w:t>1</w:t>
            </w:r>
            <w:r w:rsidRPr="00831D47">
              <w:rPr>
                <w:rFonts w:ascii="Book Antiqua" w:eastAsia="標楷體" w:hAnsi="Book Antiqua"/>
                <w:color w:val="000000" w:themeColor="text1"/>
              </w:rPr>
              <w:t>年第一季合併財務報表案</w:t>
            </w:r>
            <w:r w:rsidRPr="00831D47">
              <w:rPr>
                <w:rFonts w:ascii="Book Antiqua" w:eastAsia="標楷體" w:hAnsi="Book Antiqua" w:hint="eastAsia"/>
                <w:color w:val="000000" w:themeColor="text1"/>
              </w:rPr>
              <w:t>。</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修訂本公司</w:t>
            </w:r>
            <w:r w:rsidRPr="00831D47">
              <w:rPr>
                <w:rFonts w:ascii="Book Antiqua" w:eastAsia="標楷體" w:hAnsi="Book Antiqua" w:hint="eastAsia"/>
                <w:color w:val="000000" w:themeColor="text1"/>
              </w:rPr>
              <w:t>企業社會責任實務守則案。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本公司對子公司背書保證案。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本公司孫公司間資金貸與案。</w:t>
            </w:r>
          </w:p>
        </w:tc>
      </w:tr>
      <w:tr w:rsidR="001262CD" w:rsidRPr="00831D47" w:rsidTr="001262CD">
        <w:trPr>
          <w:trHeight w:val="284"/>
        </w:trPr>
        <w:tc>
          <w:tcPr>
            <w:tcW w:w="1364" w:type="dxa"/>
            <w:shd w:val="clear" w:color="auto" w:fill="auto"/>
            <w:vAlign w:val="center"/>
          </w:tcPr>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第二屆</w:t>
            </w:r>
          </w:p>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sidRPr="00831D47">
              <w:rPr>
                <w:rFonts w:ascii="Book Antiqua" w:eastAsia="標楷體" w:hAnsi="Book Antiqua" w:hint="eastAsia"/>
                <w:color w:val="000000" w:themeColor="text1"/>
                <w:szCs w:val="24"/>
              </w:rPr>
              <w:t>十四</w:t>
            </w:r>
            <w:r w:rsidRPr="00831D47">
              <w:rPr>
                <w:rFonts w:ascii="Book Antiqua" w:eastAsia="標楷體" w:hAnsi="Book Antiqua"/>
                <w:color w:val="000000" w:themeColor="text1"/>
                <w:szCs w:val="24"/>
              </w:rPr>
              <w:t>次</w:t>
            </w:r>
          </w:p>
        </w:tc>
        <w:tc>
          <w:tcPr>
            <w:tcW w:w="1191" w:type="dxa"/>
            <w:vAlign w:val="center"/>
          </w:tcPr>
          <w:p w:rsidR="001262CD" w:rsidRPr="00831D47" w:rsidRDefault="001262CD" w:rsidP="003D4E9D">
            <w:pPr>
              <w:pStyle w:val="1"/>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w:t>
            </w:r>
            <w:r w:rsidRPr="00831D47">
              <w:rPr>
                <w:rFonts w:ascii="Book Antiqua" w:eastAsia="標楷體" w:hAnsi="Book Antiqua" w:hint="eastAsia"/>
                <w:color w:val="000000" w:themeColor="text1"/>
              </w:rPr>
              <w:t>1</w:t>
            </w:r>
            <w:r w:rsidRPr="00831D47">
              <w:rPr>
                <w:rFonts w:ascii="Book Antiqua" w:eastAsia="標楷體" w:hAnsi="Book Antiqua"/>
                <w:color w:val="000000" w:themeColor="text1"/>
              </w:rPr>
              <w:t>.0</w:t>
            </w:r>
            <w:r w:rsidRPr="00831D47">
              <w:rPr>
                <w:rFonts w:ascii="Book Antiqua" w:eastAsia="標楷體" w:hAnsi="Book Antiqua" w:hint="eastAsia"/>
                <w:color w:val="000000" w:themeColor="text1"/>
              </w:rPr>
              <w:t>8</w:t>
            </w:r>
            <w:r w:rsidRPr="00831D47">
              <w:rPr>
                <w:rFonts w:ascii="Book Antiqua" w:eastAsia="標楷體" w:hAnsi="Book Antiqua"/>
                <w:color w:val="000000" w:themeColor="text1"/>
              </w:rPr>
              <w:t>.0</w:t>
            </w:r>
            <w:r w:rsidRPr="00831D47">
              <w:rPr>
                <w:rFonts w:ascii="Book Antiqua" w:eastAsia="標楷體" w:hAnsi="Book Antiqua" w:hint="eastAsia"/>
                <w:color w:val="000000" w:themeColor="text1"/>
              </w:rPr>
              <w:t>3</w:t>
            </w:r>
          </w:p>
        </w:tc>
        <w:tc>
          <w:tcPr>
            <w:tcW w:w="5809" w:type="dxa"/>
            <w:shd w:val="clear" w:color="auto" w:fill="auto"/>
          </w:tcPr>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w:t>
            </w:r>
            <w:r w:rsidRPr="00831D47">
              <w:rPr>
                <w:rFonts w:ascii="Book Antiqua" w:eastAsia="標楷體" w:hAnsi="Book Antiqua"/>
                <w:color w:val="000000" w:themeColor="text1"/>
              </w:rPr>
              <w:t>11</w:t>
            </w:r>
            <w:r w:rsidRPr="00831D47">
              <w:rPr>
                <w:rFonts w:ascii="Book Antiqua" w:eastAsia="標楷體" w:hAnsi="Book Antiqua" w:hint="eastAsia"/>
                <w:color w:val="000000" w:themeColor="text1"/>
              </w:rPr>
              <w:t>1</w:t>
            </w:r>
            <w:r w:rsidRPr="00831D47">
              <w:rPr>
                <w:rFonts w:ascii="Book Antiqua" w:eastAsia="標楷體" w:hAnsi="Book Antiqua"/>
                <w:color w:val="000000" w:themeColor="text1"/>
              </w:rPr>
              <w:t>年第</w:t>
            </w:r>
            <w:r w:rsidRPr="00831D47">
              <w:rPr>
                <w:rFonts w:ascii="Book Antiqua" w:eastAsia="標楷體" w:hAnsi="Book Antiqua" w:hint="eastAsia"/>
                <w:color w:val="000000" w:themeColor="text1"/>
              </w:rPr>
              <w:t>二</w:t>
            </w:r>
            <w:r w:rsidRPr="00831D47">
              <w:rPr>
                <w:rFonts w:ascii="Book Antiqua" w:eastAsia="標楷體" w:hAnsi="Book Antiqua"/>
                <w:color w:val="000000" w:themeColor="text1"/>
              </w:rPr>
              <w:t>季合併財務報表案。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參與本公司子公司現金增資案。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w:t>
            </w:r>
            <w:r w:rsidRPr="00831D47">
              <w:rPr>
                <w:rFonts w:ascii="Book Antiqua" w:eastAsia="標楷體" w:hAnsi="Book Antiqua" w:hint="eastAsia"/>
                <w:color w:val="000000" w:themeColor="text1"/>
              </w:rPr>
              <w:t>衍生性商品操作額度調整</w:t>
            </w:r>
            <w:r w:rsidRPr="00831D47">
              <w:rPr>
                <w:rFonts w:ascii="Book Antiqua" w:eastAsia="標楷體" w:hAnsi="Book Antiqua"/>
                <w:color w:val="000000" w:themeColor="text1"/>
              </w:rPr>
              <w:t>案。</w:t>
            </w:r>
          </w:p>
        </w:tc>
      </w:tr>
      <w:tr w:rsidR="001262CD" w:rsidRPr="00831D47" w:rsidTr="001262CD">
        <w:trPr>
          <w:trHeight w:val="284"/>
        </w:trPr>
        <w:tc>
          <w:tcPr>
            <w:tcW w:w="1364" w:type="dxa"/>
            <w:shd w:val="clear" w:color="auto" w:fill="auto"/>
            <w:vAlign w:val="center"/>
          </w:tcPr>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第二屆</w:t>
            </w:r>
          </w:p>
          <w:p w:rsidR="001262CD" w:rsidRPr="00831D47" w:rsidRDefault="001262CD" w:rsidP="003D4E9D">
            <w:pPr>
              <w:spacing w:line="300" w:lineRule="exact"/>
              <w:jc w:val="center"/>
              <w:rPr>
                <w:rFonts w:ascii="Book Antiqua" w:eastAsia="標楷體" w:hAnsi="Book Antiqua"/>
                <w:color w:val="000000" w:themeColor="text1"/>
                <w:szCs w:val="24"/>
              </w:rPr>
            </w:pPr>
            <w:r w:rsidRPr="00831D47">
              <w:rPr>
                <w:rFonts w:ascii="Book Antiqua" w:eastAsia="標楷體" w:hAnsi="Book Antiqua"/>
                <w:color w:val="000000" w:themeColor="text1"/>
                <w:szCs w:val="24"/>
              </w:rPr>
              <w:t>第</w:t>
            </w:r>
            <w:r w:rsidRPr="00831D47">
              <w:rPr>
                <w:rFonts w:ascii="Book Antiqua" w:eastAsia="標楷體" w:hAnsi="Book Antiqua" w:hint="eastAsia"/>
                <w:color w:val="000000" w:themeColor="text1"/>
                <w:szCs w:val="24"/>
              </w:rPr>
              <w:t>十五</w:t>
            </w:r>
            <w:r w:rsidRPr="00831D47">
              <w:rPr>
                <w:rFonts w:ascii="Book Antiqua" w:eastAsia="標楷體" w:hAnsi="Book Antiqua"/>
                <w:color w:val="000000" w:themeColor="text1"/>
                <w:szCs w:val="24"/>
              </w:rPr>
              <w:t>次</w:t>
            </w:r>
          </w:p>
        </w:tc>
        <w:tc>
          <w:tcPr>
            <w:tcW w:w="1191" w:type="dxa"/>
            <w:vAlign w:val="center"/>
          </w:tcPr>
          <w:p w:rsidR="001262CD" w:rsidRPr="00831D47" w:rsidRDefault="001262CD" w:rsidP="003D4E9D">
            <w:pPr>
              <w:pStyle w:val="1"/>
              <w:autoSpaceDE w:val="0"/>
              <w:autoSpaceDN w:val="0"/>
              <w:spacing w:line="300" w:lineRule="exact"/>
              <w:ind w:leftChars="0" w:left="120" w:hangingChars="50" w:hanging="120"/>
              <w:jc w:val="center"/>
              <w:rPr>
                <w:rFonts w:ascii="Book Antiqua" w:eastAsia="標楷體" w:hAnsi="Book Antiqua"/>
                <w:color w:val="000000" w:themeColor="text1"/>
              </w:rPr>
            </w:pPr>
            <w:r w:rsidRPr="00831D47">
              <w:rPr>
                <w:rFonts w:ascii="Book Antiqua" w:eastAsia="標楷體" w:hAnsi="Book Antiqua"/>
                <w:color w:val="000000" w:themeColor="text1"/>
              </w:rPr>
              <w:t>11</w:t>
            </w:r>
            <w:r w:rsidRPr="00831D47">
              <w:rPr>
                <w:rFonts w:ascii="Book Antiqua" w:eastAsia="標楷體" w:hAnsi="Book Antiqua" w:hint="eastAsia"/>
                <w:color w:val="000000" w:themeColor="text1"/>
              </w:rPr>
              <w:t>1</w:t>
            </w:r>
            <w:r w:rsidRPr="00831D47">
              <w:rPr>
                <w:rFonts w:ascii="Book Antiqua" w:eastAsia="標楷體" w:hAnsi="Book Antiqua"/>
                <w:color w:val="000000" w:themeColor="text1"/>
              </w:rPr>
              <w:t>.</w:t>
            </w:r>
            <w:r w:rsidRPr="00831D47">
              <w:rPr>
                <w:rFonts w:ascii="Book Antiqua" w:eastAsia="標楷體" w:hAnsi="Book Antiqua" w:hint="eastAsia"/>
                <w:color w:val="000000" w:themeColor="text1"/>
              </w:rPr>
              <w:t>11</w:t>
            </w:r>
            <w:r w:rsidRPr="00831D47">
              <w:rPr>
                <w:rFonts w:ascii="Book Antiqua" w:eastAsia="標楷體" w:hAnsi="Book Antiqua"/>
                <w:color w:val="000000" w:themeColor="text1"/>
              </w:rPr>
              <w:t>.0</w:t>
            </w:r>
            <w:r w:rsidRPr="00831D47">
              <w:rPr>
                <w:rFonts w:ascii="Book Antiqua" w:eastAsia="標楷體" w:hAnsi="Book Antiqua" w:hint="eastAsia"/>
                <w:color w:val="000000" w:themeColor="text1"/>
              </w:rPr>
              <w:t>4</w:t>
            </w:r>
          </w:p>
        </w:tc>
        <w:tc>
          <w:tcPr>
            <w:tcW w:w="5809" w:type="dxa"/>
            <w:shd w:val="clear" w:color="auto" w:fill="auto"/>
          </w:tcPr>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color w:val="000000" w:themeColor="text1"/>
              </w:rPr>
              <w:t>本公司</w:t>
            </w:r>
            <w:r w:rsidRPr="00831D47">
              <w:rPr>
                <w:rFonts w:ascii="Book Antiqua" w:eastAsia="標楷體" w:hAnsi="Book Antiqua"/>
                <w:color w:val="000000" w:themeColor="text1"/>
              </w:rPr>
              <w:t>11</w:t>
            </w:r>
            <w:r w:rsidRPr="00831D47">
              <w:rPr>
                <w:rFonts w:ascii="Book Antiqua" w:eastAsia="標楷體" w:hAnsi="Book Antiqua" w:hint="eastAsia"/>
                <w:color w:val="000000" w:themeColor="text1"/>
              </w:rPr>
              <w:t>1</w:t>
            </w:r>
            <w:r w:rsidRPr="00831D47">
              <w:rPr>
                <w:rFonts w:ascii="Book Antiqua" w:eastAsia="標楷體" w:hAnsi="Book Antiqua"/>
                <w:color w:val="000000" w:themeColor="text1"/>
              </w:rPr>
              <w:t>年第</w:t>
            </w:r>
            <w:r w:rsidRPr="00831D47">
              <w:rPr>
                <w:rFonts w:ascii="Book Antiqua" w:eastAsia="標楷體" w:hAnsi="Book Antiqua" w:hint="eastAsia"/>
                <w:color w:val="000000" w:themeColor="text1"/>
              </w:rPr>
              <w:t>三</w:t>
            </w:r>
            <w:r w:rsidRPr="00831D47">
              <w:rPr>
                <w:rFonts w:ascii="Book Antiqua" w:eastAsia="標楷體" w:hAnsi="Book Antiqua"/>
                <w:color w:val="000000" w:themeColor="text1"/>
              </w:rPr>
              <w:t>季合併財務報表案。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hint="eastAsia"/>
                <w:color w:val="000000" w:themeColor="text1"/>
              </w:rPr>
              <w:t>本公司委任安侯建業聯合會計師事務所之簽證會計師獨立性及適任性評估案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hint="eastAsia"/>
                <w:color w:val="000000" w:themeColor="text1"/>
              </w:rPr>
              <w:t>擬制定本公司預先核准非確信服務政策之一般性原則案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hint="eastAsia"/>
                <w:color w:val="000000" w:themeColor="text1"/>
              </w:rPr>
              <w:t>本公司孫公司資本支出案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hint="eastAsia"/>
                <w:color w:val="000000" w:themeColor="text1"/>
              </w:rPr>
              <w:t>本公司子公司資金貸與孫公司案</w:t>
            </w:r>
          </w:p>
          <w:p w:rsidR="001262CD" w:rsidRPr="00831D47" w:rsidRDefault="001262CD" w:rsidP="003B51AA">
            <w:pPr>
              <w:pStyle w:val="1"/>
              <w:numPr>
                <w:ilvl w:val="0"/>
                <w:numId w:val="1"/>
              </w:numPr>
              <w:autoSpaceDE w:val="0"/>
              <w:autoSpaceDN w:val="0"/>
              <w:spacing w:line="320" w:lineRule="exact"/>
              <w:ind w:leftChars="0" w:left="290" w:hanging="290"/>
              <w:jc w:val="both"/>
              <w:rPr>
                <w:rFonts w:ascii="Book Antiqua" w:eastAsia="標楷體" w:hAnsi="Book Antiqua"/>
                <w:color w:val="000000" w:themeColor="text1"/>
              </w:rPr>
            </w:pPr>
            <w:r w:rsidRPr="00831D47">
              <w:rPr>
                <w:rFonts w:ascii="Book Antiqua" w:eastAsia="標楷體" w:hAnsi="Book Antiqua" w:hint="eastAsia"/>
                <w:color w:val="000000" w:themeColor="text1"/>
              </w:rPr>
              <w:t>本公司對子公司向銀行申請授信額度背書保證案</w:t>
            </w:r>
          </w:p>
        </w:tc>
      </w:tr>
    </w:tbl>
    <w:p w:rsidR="00DF7F87" w:rsidRPr="001C0971" w:rsidRDefault="00DF7F87"/>
    <w:sectPr w:rsidR="00DF7F87" w:rsidRPr="001C09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71" w:rsidRDefault="001C0971" w:rsidP="001C0971">
      <w:r>
        <w:separator/>
      </w:r>
    </w:p>
  </w:endnote>
  <w:endnote w:type="continuationSeparator" w:id="0">
    <w:p w:rsidR="001C0971" w:rsidRDefault="001C0971" w:rsidP="001C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71" w:rsidRDefault="001C0971" w:rsidP="001C0971">
      <w:r>
        <w:separator/>
      </w:r>
    </w:p>
  </w:footnote>
  <w:footnote w:type="continuationSeparator" w:id="0">
    <w:p w:rsidR="001C0971" w:rsidRDefault="001C0971" w:rsidP="001C0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A53E0"/>
    <w:multiLevelType w:val="hybridMultilevel"/>
    <w:tmpl w:val="FEBE54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AA"/>
    <w:rsid w:val="001262CD"/>
    <w:rsid w:val="001C0971"/>
    <w:rsid w:val="003B51AA"/>
    <w:rsid w:val="00DF7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D93C6C-F50B-4435-B8F1-C2F88960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A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3B51AA"/>
    <w:pPr>
      <w:ind w:leftChars="200" w:left="480"/>
    </w:pPr>
    <w:rPr>
      <w:szCs w:val="24"/>
    </w:rPr>
  </w:style>
  <w:style w:type="paragraph" w:styleId="a3">
    <w:name w:val="header"/>
    <w:basedOn w:val="a"/>
    <w:link w:val="a4"/>
    <w:uiPriority w:val="99"/>
    <w:unhideWhenUsed/>
    <w:rsid w:val="001C0971"/>
    <w:pPr>
      <w:tabs>
        <w:tab w:val="center" w:pos="4153"/>
        <w:tab w:val="right" w:pos="8306"/>
      </w:tabs>
      <w:snapToGrid w:val="0"/>
    </w:pPr>
    <w:rPr>
      <w:sz w:val="20"/>
    </w:rPr>
  </w:style>
  <w:style w:type="character" w:customStyle="1" w:styleId="a4">
    <w:name w:val="頁首 字元"/>
    <w:basedOn w:val="a0"/>
    <w:link w:val="a3"/>
    <w:uiPriority w:val="99"/>
    <w:rsid w:val="001C0971"/>
    <w:rPr>
      <w:rFonts w:ascii="Times New Roman" w:eastAsia="新細明體" w:hAnsi="Times New Roman" w:cs="Times New Roman"/>
      <w:sz w:val="20"/>
      <w:szCs w:val="20"/>
    </w:rPr>
  </w:style>
  <w:style w:type="paragraph" w:styleId="a5">
    <w:name w:val="footer"/>
    <w:basedOn w:val="a"/>
    <w:link w:val="a6"/>
    <w:uiPriority w:val="99"/>
    <w:unhideWhenUsed/>
    <w:rsid w:val="001C0971"/>
    <w:pPr>
      <w:tabs>
        <w:tab w:val="center" w:pos="4153"/>
        <w:tab w:val="right" w:pos="8306"/>
      </w:tabs>
      <w:snapToGrid w:val="0"/>
    </w:pPr>
    <w:rPr>
      <w:sz w:val="20"/>
    </w:rPr>
  </w:style>
  <w:style w:type="character" w:customStyle="1" w:styleId="a6">
    <w:name w:val="頁尾 字元"/>
    <w:basedOn w:val="a0"/>
    <w:link w:val="a5"/>
    <w:uiPriority w:val="99"/>
    <w:rsid w:val="001C097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楊國醫</dc:creator>
  <cp:keywords/>
  <dc:description/>
  <cp:lastModifiedBy>楊國醫</cp:lastModifiedBy>
  <cp:revision>4</cp:revision>
  <dcterms:created xsi:type="dcterms:W3CDTF">2024-03-14T02:29:00Z</dcterms:created>
  <dcterms:modified xsi:type="dcterms:W3CDTF">2024-03-14T05:06:00Z</dcterms:modified>
</cp:coreProperties>
</file>